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3B327" w14:textId="4D51B8E5" w:rsidR="006D149B" w:rsidRDefault="007D1ADB" w:rsidP="007D1ADB">
      <w:pPr>
        <w:pStyle w:val="Heading3"/>
        <w:spacing w:before="240" w:after="120"/>
      </w:pPr>
      <w:r w:rsidRPr="007D1ADB">
        <w:t>Exercise sheet on mainstreaming versus programming</w:t>
      </w:r>
    </w:p>
    <w:tbl>
      <w:tblPr>
        <w:tblStyle w:val="TableGrid"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1641"/>
        <w:gridCol w:w="1642"/>
      </w:tblGrid>
      <w:tr w:rsidR="007D1ADB" w14:paraId="6CE3E336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  <w:shd w:val="clear" w:color="auto" w:fill="E0FCB9" w:themeFill="accent1" w:themeFillTint="33"/>
          </w:tcPr>
          <w:p w14:paraId="0180F57E" w14:textId="77777777" w:rsidR="007D1ADB" w:rsidRDefault="007D1ADB" w:rsidP="007D1ADB">
            <w:pPr>
              <w:pStyle w:val="tableheading"/>
            </w:pP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  <w:shd w:val="clear" w:color="auto" w:fill="E0FCB9" w:themeFill="accent1" w:themeFillTint="33"/>
          </w:tcPr>
          <w:p w14:paraId="4B569473" w14:textId="6F26C3FB" w:rsidR="007D1ADB" w:rsidRPr="007D1ADB" w:rsidRDefault="007D1ADB" w:rsidP="00405A54">
            <w:pPr>
              <w:pStyle w:val="tableheading"/>
              <w:jc w:val="center"/>
              <w:rPr>
                <w:sz w:val="18"/>
                <w:szCs w:val="18"/>
              </w:rPr>
            </w:pPr>
            <w:r w:rsidRPr="007D1ADB">
              <w:rPr>
                <w:sz w:val="18"/>
                <w:szCs w:val="18"/>
              </w:rPr>
              <w:t>HIV/AIDS programming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0FCB9" w:themeFill="accent1" w:themeFillTint="33"/>
          </w:tcPr>
          <w:p w14:paraId="5389EA07" w14:textId="3005F387" w:rsidR="007D1ADB" w:rsidRPr="007D1ADB" w:rsidRDefault="007D1ADB" w:rsidP="00405A54">
            <w:pPr>
              <w:pStyle w:val="tableheading"/>
              <w:jc w:val="center"/>
              <w:rPr>
                <w:sz w:val="18"/>
                <w:szCs w:val="18"/>
              </w:rPr>
            </w:pPr>
            <w:r w:rsidRPr="007D1ADB">
              <w:rPr>
                <w:sz w:val="18"/>
                <w:szCs w:val="18"/>
              </w:rPr>
              <w:t>HIV/AIDS mainstreaming</w:t>
            </w:r>
          </w:p>
        </w:tc>
      </w:tr>
      <w:tr w:rsidR="007D1ADB" w14:paraId="4B13B202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7D907232" w14:textId="2F0AE151" w:rsidR="007D1ADB" w:rsidRDefault="007D1ADB" w:rsidP="007D1ADB">
            <w:pPr>
              <w:pStyle w:val="table"/>
            </w:pPr>
            <w:r w:rsidRPr="00120539">
              <w:t xml:space="preserve">Support an HIV/AIDS home-based care project 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2979D171" w14:textId="6F5330F2" w:rsidR="007D1ADB" w:rsidRPr="007D1ADB" w:rsidRDefault="007D1ADB" w:rsidP="007D1ADB">
            <w:pPr>
              <w:pStyle w:val="table"/>
              <w:jc w:val="center"/>
              <w:rPr>
                <w:rFonts w:ascii="Wingdings" w:hAnsi="Wingdings"/>
                <w:color w:val="579305" w:themeColor="accent1"/>
                <w:sz w:val="28"/>
                <w:szCs w:val="28"/>
              </w:rPr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41649778" w14:textId="6A6BC722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0FF5AD12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4DA0C148" w14:textId="4F72B76B" w:rsidR="007D1ADB" w:rsidRDefault="007D1ADB" w:rsidP="007D1ADB">
            <w:pPr>
              <w:pStyle w:val="table"/>
            </w:pPr>
            <w:r w:rsidRPr="00120539">
              <w:t>Ensure staff are adequately supported when dealing with a traumatic work situation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2B23B6BB" w14:textId="347F4194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1425FA07" w14:textId="11038A3C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09803BFE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EFD4CCD" w14:textId="7EF35949" w:rsidR="007D1ADB" w:rsidRDefault="007D1ADB" w:rsidP="007D1ADB">
            <w:pPr>
              <w:pStyle w:val="table"/>
            </w:pPr>
            <w:r w:rsidRPr="00120539">
              <w:t>Develop an organisational code of conduct that includes references to exploitative or coercive sexual conduct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36783654" w14:textId="7A5B2D6E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3CC916E6" w14:textId="16EAD504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646CDE95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178A28DD" w14:textId="58B5486B" w:rsidR="007D1ADB" w:rsidRDefault="007D1ADB" w:rsidP="007D1ADB">
            <w:pPr>
              <w:pStyle w:val="table"/>
            </w:pPr>
            <w:r w:rsidRPr="00120539">
              <w:t>Make school or work timetables flexible to enable to take care of sick family members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2A4E527F" w14:textId="0BAE7672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19BF8C0F" w14:textId="3F02BC05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59DA6D4E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3FA3F0BE" w14:textId="3DA8174C" w:rsidR="007D1ADB" w:rsidRDefault="007D1ADB" w:rsidP="007D1ADB">
            <w:pPr>
              <w:pStyle w:val="table"/>
            </w:pPr>
            <w:r w:rsidRPr="00120539">
              <w:t>Organise World AIDS Day events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0F57711C" w14:textId="4ED24894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289AE89C" w14:textId="7437422F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6C4D7B38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2BA031DD" w14:textId="7492A40F" w:rsidR="007D1ADB" w:rsidRDefault="007D1ADB" w:rsidP="007D1ADB">
            <w:pPr>
              <w:pStyle w:val="table"/>
            </w:pPr>
            <w:r w:rsidRPr="00120539">
              <w:t>In construction projects, make sure latrines and water supplies are not located in isolated areas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3BA5ADAC" w14:textId="06F2FEE9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5E0476C6" w14:textId="3329F19C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0AB7A1CA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737D05C2" w14:textId="38ACD168" w:rsidR="007D1ADB" w:rsidRDefault="007D1ADB" w:rsidP="007D1ADB">
            <w:pPr>
              <w:pStyle w:val="table"/>
            </w:pPr>
            <w:r w:rsidRPr="00120539">
              <w:t>Fund provision for school fees for AIDS orphans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1E52CB68" w14:textId="6B26B3A7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695205DB" w14:textId="46C70088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6E71B52C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41C68631" w14:textId="58EA434B" w:rsidR="007D1ADB" w:rsidRDefault="007D1ADB" w:rsidP="007D1ADB">
            <w:pPr>
              <w:pStyle w:val="table"/>
            </w:pPr>
            <w:r w:rsidRPr="00120539">
              <w:t xml:space="preserve">Give talks on your organisations’ HIV/AIDS work 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7816EE66" w14:textId="5B6C4CC7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22C4AEC6" w14:textId="64CA534B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761DA8D6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1B40519F" w14:textId="21F34962" w:rsidR="007D1ADB" w:rsidRDefault="007D1ADB" w:rsidP="007D1ADB">
            <w:pPr>
              <w:pStyle w:val="table"/>
            </w:pPr>
            <w:r w:rsidRPr="00120539">
              <w:t xml:space="preserve">Fund HIV/AIDS testing and </w:t>
            </w:r>
            <w:r w:rsidR="00652FB1" w:rsidRPr="00120539">
              <w:t>counselling</w:t>
            </w:r>
            <w:r w:rsidRPr="00120539">
              <w:t xml:space="preserve"> within a local health clinic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0D880553" w14:textId="063D856A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3640FC59" w14:textId="0133F47A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12BA754B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6AE31705" w14:textId="48E1D9AB" w:rsidR="007D1ADB" w:rsidRDefault="007D1ADB" w:rsidP="007D1ADB">
            <w:pPr>
              <w:pStyle w:val="table"/>
            </w:pPr>
            <w:r w:rsidRPr="00120539">
              <w:t>Ensure women as well as men control programme decisions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24F70FA2" w14:textId="41368BF1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351F7439" w14:textId="64A3690D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4795E72A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163275C5" w14:textId="1B685E2C" w:rsidR="007D1ADB" w:rsidRDefault="007D1ADB" w:rsidP="007D1ADB">
            <w:pPr>
              <w:pStyle w:val="table"/>
            </w:pPr>
            <w:r w:rsidRPr="00120539">
              <w:t>Develop contingency plans to cope with increased levels of absenteeism and loss of skills in a workplace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28DCD0E6" w14:textId="6C020E7B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3A46C239" w14:textId="25F28111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0FFA1282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CD203A8" w14:textId="0DF18ACA" w:rsidR="007D1ADB" w:rsidRDefault="007D1ADB" w:rsidP="007D1ADB">
            <w:pPr>
              <w:pStyle w:val="table"/>
            </w:pPr>
            <w:r w:rsidRPr="00120539">
              <w:t>Distribute extra hygiene utensils to households with chronically ill persons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7FE33638" w14:textId="634E30BB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4AA3FBA7" w14:textId="49B061AE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3219EC97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07A4BABB" w14:textId="066621D5" w:rsidR="007D1ADB" w:rsidRDefault="007D1ADB" w:rsidP="007D1ADB">
            <w:pPr>
              <w:pStyle w:val="table"/>
            </w:pPr>
            <w:r w:rsidRPr="00120539">
              <w:t>Distribute extra food rations to households with chronically ill persons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559C3F92" w14:textId="2637ADF3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663FA13F" w14:textId="4119177F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681A1D18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27963C9E" w14:textId="172C8F92" w:rsidR="007D1ADB" w:rsidRDefault="007D1ADB" w:rsidP="007D1ADB">
            <w:pPr>
              <w:pStyle w:val="table"/>
            </w:pPr>
            <w:r w:rsidRPr="00120539">
              <w:t>Provide facilitated access to water to carers of chronically ill persons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49A0321E" w14:textId="7AA74344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21AF95FF" w14:textId="7DCC89A0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78F9F4EE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4CDB0A2B" w14:textId="238C8771" w:rsidR="007D1ADB" w:rsidRDefault="007D1ADB" w:rsidP="007D1ADB">
            <w:pPr>
              <w:pStyle w:val="table"/>
            </w:pPr>
            <w:r w:rsidRPr="00120539">
              <w:t>Arrange time for a meeting so that caretakers of chronically ill persons can attend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0A21F568" w14:textId="2AC8BE21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53D04BD4" w14:textId="7232CD54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73857CEC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28364466" w14:textId="6134C4C1" w:rsidR="007D1ADB" w:rsidRDefault="007D1ADB" w:rsidP="007D1ADB">
            <w:pPr>
              <w:pStyle w:val="table"/>
            </w:pPr>
            <w:r w:rsidRPr="00120539">
              <w:t xml:space="preserve">Install water pumps that are adapted for people with reduced strength 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44EAD34C" w14:textId="21FC0B73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7FB8E711" w14:textId="5D4FFF09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3403C74A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63164C6A" w14:textId="406CFDA0" w:rsidR="007D1ADB" w:rsidRDefault="007D1ADB" w:rsidP="007D1ADB">
            <w:pPr>
              <w:pStyle w:val="table"/>
            </w:pPr>
            <w:r w:rsidRPr="00120539">
              <w:t>Fight HIV/AIDS-related discrimination in schools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697E60E3" w14:textId="234BAFFE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3057D143" w14:textId="29AB6D61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426C8A8C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10013475" w14:textId="304AB0FA" w:rsidR="007D1ADB" w:rsidRDefault="007D1ADB" w:rsidP="007D1ADB">
            <w:pPr>
              <w:pStyle w:val="table"/>
            </w:pPr>
            <w:r w:rsidRPr="00120539">
              <w:t>Support your staff working in difficult areas to avoid destructive/at risk behaviour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1946266D" w14:textId="308FEE5E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333CE6BC" w14:textId="1CB8549B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  <w:tr w:rsidR="007D1ADB" w14:paraId="1807A50B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90BE4F0" w14:textId="289FE312" w:rsidR="007D1ADB" w:rsidRDefault="007D1ADB" w:rsidP="007D1ADB">
            <w:pPr>
              <w:pStyle w:val="table"/>
            </w:pPr>
            <w:r>
              <w:t>Organis</w:t>
            </w:r>
            <w:r w:rsidRPr="00120539">
              <w:t xml:space="preserve">e HIV/AIDS talks to sensitise beneficiaries at distribution points 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385AC15A" w14:textId="66928A95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0CB85E55" w14:textId="1EDB72E3" w:rsidR="007D1ADB" w:rsidRDefault="007D1ADB" w:rsidP="007D1ADB">
            <w:pPr>
              <w:pStyle w:val="table"/>
              <w:jc w:val="center"/>
            </w:pPr>
            <w:r w:rsidRPr="007D1ADB">
              <w:rPr>
                <w:rFonts w:ascii="Wingdings" w:hAnsi="Wingdings"/>
                <w:color w:val="579305" w:themeColor="accent1"/>
                <w:sz w:val="28"/>
                <w:szCs w:val="28"/>
              </w:rPr>
              <w:t></w:t>
            </w:r>
          </w:p>
        </w:tc>
      </w:tr>
    </w:tbl>
    <w:p w14:paraId="37A29124" w14:textId="3335A7FB" w:rsidR="007D1ADB" w:rsidRDefault="007D1ADB" w:rsidP="007D1ADB">
      <w:pPr>
        <w:pStyle w:val="Heading3"/>
        <w:spacing w:after="120"/>
      </w:pPr>
      <w:r>
        <w:lastRenderedPageBreak/>
        <w:t>Answer</w:t>
      </w:r>
      <w:r w:rsidRPr="007D1ADB">
        <w:t xml:space="preserve"> sheet on mainstreaming versus programming</w:t>
      </w:r>
    </w:p>
    <w:tbl>
      <w:tblPr>
        <w:tblStyle w:val="TableGrid"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1641"/>
        <w:gridCol w:w="1642"/>
      </w:tblGrid>
      <w:tr w:rsidR="00405A54" w14:paraId="4198C8E6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  <w:shd w:val="clear" w:color="auto" w:fill="E0FCB9" w:themeFill="accent1" w:themeFillTint="33"/>
          </w:tcPr>
          <w:p w14:paraId="426EE35C" w14:textId="77777777" w:rsidR="00405A54" w:rsidRDefault="00405A54" w:rsidP="00405A54">
            <w:pPr>
              <w:pStyle w:val="tableheading"/>
            </w:pP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  <w:shd w:val="clear" w:color="auto" w:fill="E0FCB9" w:themeFill="accent1" w:themeFillTint="33"/>
          </w:tcPr>
          <w:p w14:paraId="3315147E" w14:textId="77777777" w:rsidR="00405A54" w:rsidRPr="007D1ADB" w:rsidRDefault="00405A54" w:rsidP="00405A54">
            <w:pPr>
              <w:pStyle w:val="tableheading"/>
              <w:jc w:val="center"/>
              <w:rPr>
                <w:sz w:val="18"/>
                <w:szCs w:val="18"/>
              </w:rPr>
            </w:pPr>
            <w:r w:rsidRPr="007D1ADB">
              <w:rPr>
                <w:sz w:val="18"/>
                <w:szCs w:val="18"/>
              </w:rPr>
              <w:t>HIV/AIDS programming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0FCB9" w:themeFill="accent1" w:themeFillTint="33"/>
          </w:tcPr>
          <w:p w14:paraId="4ABFF7F8" w14:textId="77777777" w:rsidR="00405A54" w:rsidRPr="007D1ADB" w:rsidRDefault="00405A54" w:rsidP="00405A54">
            <w:pPr>
              <w:pStyle w:val="tableheading"/>
              <w:jc w:val="center"/>
              <w:rPr>
                <w:sz w:val="18"/>
                <w:szCs w:val="18"/>
              </w:rPr>
            </w:pPr>
            <w:r w:rsidRPr="007D1ADB">
              <w:rPr>
                <w:sz w:val="18"/>
                <w:szCs w:val="18"/>
              </w:rPr>
              <w:t>HIV/AIDS mainstreaming</w:t>
            </w:r>
          </w:p>
        </w:tc>
      </w:tr>
      <w:tr w:rsidR="00405A54" w14:paraId="51CA3CE5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1D5FF74C" w14:textId="77777777" w:rsidR="00405A54" w:rsidRDefault="00405A54" w:rsidP="00405A54">
            <w:pPr>
              <w:pStyle w:val="table"/>
            </w:pPr>
            <w:r w:rsidRPr="00120539">
              <w:t xml:space="preserve">Support an HIV/AIDS home-based care project 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059EECFD" w14:textId="4CFCD058" w:rsidR="00405A54" w:rsidRPr="007D1ADB" w:rsidRDefault="006F280A" w:rsidP="00405A54">
            <w:pPr>
              <w:pStyle w:val="table"/>
              <w:jc w:val="center"/>
              <w:rPr>
                <w:rFonts w:ascii="Wingdings" w:hAnsi="Wingdings"/>
                <w:color w:val="579305" w:themeColor="accent1"/>
                <w:sz w:val="28"/>
                <w:szCs w:val="28"/>
              </w:rPr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3CF6593D" w14:textId="1842F4AB" w:rsidR="00405A54" w:rsidRDefault="00405A54" w:rsidP="00405A54">
            <w:pPr>
              <w:pStyle w:val="table"/>
              <w:jc w:val="center"/>
            </w:pPr>
          </w:p>
        </w:tc>
      </w:tr>
      <w:tr w:rsidR="00405A54" w14:paraId="0A8EE3D9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68EFED2" w14:textId="77777777" w:rsidR="00405A54" w:rsidRDefault="00405A54" w:rsidP="00405A54">
            <w:pPr>
              <w:pStyle w:val="table"/>
            </w:pPr>
            <w:r w:rsidRPr="00120539">
              <w:t>Ensure staff are adequately supported when dealing with a traumatic work situation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46D2B221" w14:textId="1ED405D0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1C086EC9" w14:textId="111FB522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5C442910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26C7B29B" w14:textId="77777777" w:rsidR="00405A54" w:rsidRDefault="00405A54" w:rsidP="00405A54">
            <w:pPr>
              <w:pStyle w:val="table"/>
            </w:pPr>
            <w:r w:rsidRPr="00120539">
              <w:t>Develop an organisational code of conduct that includes references to exploitative or coercive sexual conduct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561BB5AE" w14:textId="46EFCF49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0015B818" w14:textId="087487E3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42ABF09B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3DE83B6E" w14:textId="77777777" w:rsidR="00405A54" w:rsidRDefault="00405A54" w:rsidP="00405A54">
            <w:pPr>
              <w:pStyle w:val="table"/>
            </w:pPr>
            <w:r w:rsidRPr="00120539">
              <w:t>Make school or work timetables flexible to enable to take care of sick family members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113CD2AA" w14:textId="78EFEB5F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656A8638" w14:textId="798DBB38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4728ACD7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93A311D" w14:textId="77777777" w:rsidR="00405A54" w:rsidRDefault="00405A54" w:rsidP="00405A54">
            <w:pPr>
              <w:pStyle w:val="table"/>
            </w:pPr>
            <w:r w:rsidRPr="00120539">
              <w:t>Organise World AIDS Day events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287B1854" w14:textId="4D54568B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15610C7C" w14:textId="0FE39802" w:rsidR="00405A54" w:rsidRDefault="00405A54" w:rsidP="00405A54">
            <w:pPr>
              <w:pStyle w:val="table"/>
              <w:jc w:val="center"/>
            </w:pPr>
          </w:p>
        </w:tc>
      </w:tr>
      <w:tr w:rsidR="00405A54" w14:paraId="5631EC0E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7E7B8BFE" w14:textId="77777777" w:rsidR="00405A54" w:rsidRDefault="00405A54" w:rsidP="00405A54">
            <w:pPr>
              <w:pStyle w:val="table"/>
            </w:pPr>
            <w:r w:rsidRPr="00120539">
              <w:t>In construction projects, make sure latrines and water supplies are not located in isolated areas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64B691F2" w14:textId="69F0207F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4B09E8B9" w14:textId="3788EE6F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7648F041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439AFAC" w14:textId="77777777" w:rsidR="00405A54" w:rsidRDefault="00405A54" w:rsidP="00405A54">
            <w:pPr>
              <w:pStyle w:val="table"/>
            </w:pPr>
            <w:r w:rsidRPr="00120539">
              <w:t>Fund provision for school fees for AIDS orphans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44154A7A" w14:textId="3C1B9D7A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7FD700DC" w14:textId="1B2FED4C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5EA2755F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6735E306" w14:textId="77777777" w:rsidR="00405A54" w:rsidRDefault="00405A54" w:rsidP="00405A54">
            <w:pPr>
              <w:pStyle w:val="table"/>
            </w:pPr>
            <w:r w:rsidRPr="00120539">
              <w:t xml:space="preserve">Give talks on your organisations’ HIV/AIDS work 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19534F4C" w14:textId="18AF2F57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2C15E297" w14:textId="15ED1D5C" w:rsidR="00405A54" w:rsidRDefault="00405A54" w:rsidP="00405A54">
            <w:pPr>
              <w:pStyle w:val="table"/>
              <w:jc w:val="center"/>
            </w:pPr>
          </w:p>
        </w:tc>
      </w:tr>
      <w:tr w:rsidR="00405A54" w14:paraId="1983A9C8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197DB866" w14:textId="0F80DC48" w:rsidR="00405A54" w:rsidRDefault="00405A54" w:rsidP="00405A54">
            <w:pPr>
              <w:pStyle w:val="table"/>
            </w:pPr>
            <w:r w:rsidRPr="00120539">
              <w:t xml:space="preserve">Fund HIV/AIDS testing and </w:t>
            </w:r>
            <w:r w:rsidR="00652FB1" w:rsidRPr="00120539">
              <w:t>counselling</w:t>
            </w:r>
            <w:r w:rsidRPr="00120539">
              <w:t xml:space="preserve"> within a local health clinic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0717D057" w14:textId="13B7CEF6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37A03E52" w14:textId="448C066C" w:rsidR="00405A54" w:rsidRDefault="00405A54" w:rsidP="00405A54">
            <w:pPr>
              <w:pStyle w:val="table"/>
              <w:jc w:val="center"/>
            </w:pPr>
          </w:p>
        </w:tc>
      </w:tr>
      <w:tr w:rsidR="00405A54" w14:paraId="17F620C0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6B1516E6" w14:textId="77777777" w:rsidR="00405A54" w:rsidRDefault="00405A54" w:rsidP="00405A54">
            <w:pPr>
              <w:pStyle w:val="table"/>
            </w:pPr>
            <w:r w:rsidRPr="00120539">
              <w:t>Ensure women as well as men control programme decisions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231C6D11" w14:textId="38513A01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1490F43A" w14:textId="1F2B00F9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0211592F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8532AC2" w14:textId="77777777" w:rsidR="00405A54" w:rsidRDefault="00405A54" w:rsidP="00405A54">
            <w:pPr>
              <w:pStyle w:val="table"/>
            </w:pPr>
            <w:r w:rsidRPr="00120539">
              <w:t>Develop contingency plans to cope with increased levels of absenteeism and loss of skills in a workplace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099C397C" w14:textId="70E9C238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4955F7D4" w14:textId="4FD1044F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44538D56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6E971964" w14:textId="77777777" w:rsidR="00405A54" w:rsidRDefault="00405A54" w:rsidP="00405A54">
            <w:pPr>
              <w:pStyle w:val="table"/>
            </w:pPr>
            <w:r w:rsidRPr="00120539">
              <w:t>Distribute extra hygiene utensils to households with chronically ill persons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35B60FCF" w14:textId="52CCCC1D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24895A22" w14:textId="209F18DA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60AC7A28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46204EB" w14:textId="77777777" w:rsidR="00405A54" w:rsidRDefault="00405A54" w:rsidP="00405A54">
            <w:pPr>
              <w:pStyle w:val="table"/>
            </w:pPr>
            <w:r w:rsidRPr="00120539">
              <w:t>Distribute extra food rations to households with chronically ill persons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4F637BB2" w14:textId="15BF526C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368D2AB7" w14:textId="128927FC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768996E7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3D73BE7" w14:textId="77777777" w:rsidR="00405A54" w:rsidRDefault="00405A54" w:rsidP="00405A54">
            <w:pPr>
              <w:pStyle w:val="table"/>
            </w:pPr>
            <w:r w:rsidRPr="00120539">
              <w:t>Provide facilitated access to water to carers of chronically ill persons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0321F1ED" w14:textId="67C9C390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484ABEE1" w14:textId="32CF9848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18023675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176F129B" w14:textId="77777777" w:rsidR="00405A54" w:rsidRDefault="00405A54" w:rsidP="00405A54">
            <w:pPr>
              <w:pStyle w:val="table"/>
            </w:pPr>
            <w:r w:rsidRPr="00120539">
              <w:t>Arrange time for a meeting so that caretakers of chronically ill persons can attend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1B29935C" w14:textId="42604C58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2506FC1A" w14:textId="6111E2AA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597443B7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27EFE525" w14:textId="77777777" w:rsidR="00405A54" w:rsidRDefault="00405A54" w:rsidP="00405A54">
            <w:pPr>
              <w:pStyle w:val="table"/>
            </w:pPr>
            <w:r w:rsidRPr="00120539">
              <w:t xml:space="preserve">Install water pumps that are adapted for people with reduced strength 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39369096" w14:textId="035DAE6E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7D55A3A7" w14:textId="06316BCD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08CD79BF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5C569BAB" w14:textId="77777777" w:rsidR="00405A54" w:rsidRDefault="00405A54" w:rsidP="00405A54">
            <w:pPr>
              <w:pStyle w:val="table"/>
            </w:pPr>
            <w:r w:rsidRPr="00120539">
              <w:t>Fight HIV/AIDS-related discrimination in schools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019EE74F" w14:textId="31015B5C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481C82A9" w14:textId="4735AA07" w:rsidR="00405A54" w:rsidRDefault="00405A54" w:rsidP="00405A54">
            <w:pPr>
              <w:pStyle w:val="table"/>
              <w:jc w:val="center"/>
            </w:pPr>
          </w:p>
        </w:tc>
      </w:tr>
      <w:tr w:rsidR="00405A54" w14:paraId="77DA75D8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4DC445FD" w14:textId="77777777" w:rsidR="00405A54" w:rsidRDefault="00405A54" w:rsidP="00405A54">
            <w:pPr>
              <w:pStyle w:val="table"/>
            </w:pPr>
            <w:r w:rsidRPr="00120539">
              <w:t>Support your staff working in difficult areas to avoid destructive/at risk behaviour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7DBDDE30" w14:textId="67D820D3" w:rsidR="00405A54" w:rsidRDefault="00405A54" w:rsidP="00405A54">
            <w:pPr>
              <w:pStyle w:val="table"/>
              <w:jc w:val="center"/>
            </w:pP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7801CB20" w14:textId="1C1AA1A1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</w:tr>
      <w:tr w:rsidR="00405A54" w14:paraId="3DC21C8D" w14:textId="77777777" w:rsidTr="00405A54">
        <w:tc>
          <w:tcPr>
            <w:tcW w:w="6345" w:type="dxa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nil"/>
            </w:tcBorders>
          </w:tcPr>
          <w:p w14:paraId="12E7DCFA" w14:textId="77777777" w:rsidR="00405A54" w:rsidRDefault="00405A54" w:rsidP="00405A54">
            <w:pPr>
              <w:pStyle w:val="table"/>
            </w:pPr>
            <w:r>
              <w:t>Organis</w:t>
            </w:r>
            <w:r w:rsidRPr="00120539">
              <w:t xml:space="preserve">e HIV/AIDS talks to sensitise beneficiaries at distribution points </w:t>
            </w:r>
          </w:p>
        </w:tc>
        <w:tc>
          <w:tcPr>
            <w:tcW w:w="1641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nil"/>
            </w:tcBorders>
          </w:tcPr>
          <w:p w14:paraId="64151FE3" w14:textId="44B762B9" w:rsidR="00405A54" w:rsidRDefault="006F280A" w:rsidP="00405A54">
            <w:pPr>
              <w:pStyle w:val="table"/>
              <w:jc w:val="center"/>
            </w:pPr>
            <w:r>
              <w:rPr>
                <w:rFonts w:ascii="Wingdings" w:hAnsi="Wingdings"/>
                <w:color w:val="579305" w:themeColor="accent1"/>
                <w:sz w:val="28"/>
                <w:szCs w:val="28"/>
              </w:rPr>
              <w:t></w:t>
            </w:r>
          </w:p>
        </w:tc>
        <w:tc>
          <w:tcPr>
            <w:tcW w:w="1642" w:type="dxa"/>
            <w:tcBorders>
              <w:top w:val="single" w:sz="4" w:space="0" w:color="579305" w:themeColor="accent1"/>
              <w:left w:val="nil"/>
              <w:bottom w:val="single" w:sz="4" w:space="0" w:color="579305" w:themeColor="accent1"/>
              <w:right w:val="single" w:sz="4" w:space="0" w:color="579305" w:themeColor="accent1"/>
            </w:tcBorders>
          </w:tcPr>
          <w:p w14:paraId="197522BB" w14:textId="5BB7375E" w:rsidR="00405A54" w:rsidRDefault="00405A54" w:rsidP="00405A54">
            <w:pPr>
              <w:pStyle w:val="table"/>
              <w:jc w:val="center"/>
            </w:pPr>
          </w:p>
        </w:tc>
      </w:tr>
    </w:tbl>
    <w:p w14:paraId="71B6991F" w14:textId="77777777" w:rsidR="00171851" w:rsidRDefault="00171851" w:rsidP="00171851">
      <w:pPr>
        <w:pStyle w:val="Heading3"/>
      </w:pPr>
      <w:r>
        <w:lastRenderedPageBreak/>
        <w:t>Specific references to the cross-cutting themes for Sphere and its four companions</w:t>
      </w:r>
    </w:p>
    <w:p w14:paraId="051D336D" w14:textId="77777777" w:rsidR="00171851" w:rsidRDefault="00171851" w:rsidP="00171851">
      <w:pPr>
        <w:pStyle w:val="Heading5"/>
      </w:pPr>
      <w:r>
        <w:t>Sphere Project Handbook</w:t>
      </w:r>
    </w:p>
    <w:p w14:paraId="4C4A8522" w14:textId="77777777" w:rsidR="00171851" w:rsidRDefault="00171851" w:rsidP="00171851">
      <w:pPr>
        <w:pStyle w:val="bullet"/>
      </w:pPr>
      <w:r>
        <w:t>8 cross-cutting themes (p.14)</w:t>
      </w:r>
    </w:p>
    <w:p w14:paraId="61E24D74" w14:textId="77777777" w:rsidR="00171851" w:rsidRDefault="00171851" w:rsidP="00171851">
      <w:pPr>
        <w:pStyle w:val="bullet"/>
      </w:pPr>
      <w:r>
        <w:t>Protection Principles  (p.25)</w:t>
      </w:r>
    </w:p>
    <w:p w14:paraId="41C24EC1" w14:textId="77777777" w:rsidR="00171851" w:rsidRDefault="00171851" w:rsidP="00171851">
      <w:pPr>
        <w:pStyle w:val="bullet"/>
      </w:pPr>
      <w:r>
        <w:t>Core Standards, guidance notes (p.50)</w:t>
      </w:r>
    </w:p>
    <w:p w14:paraId="5654265E" w14:textId="77777777" w:rsidR="00171851" w:rsidRDefault="00171851" w:rsidP="00171851">
      <w:pPr>
        <w:pStyle w:val="bullet"/>
      </w:pPr>
      <w:r>
        <w:t>Technical chapters, guidance notes (p.80, p.140, p.240, p.288)</w:t>
      </w:r>
    </w:p>
    <w:p w14:paraId="7550BF55" w14:textId="77777777" w:rsidR="00171851" w:rsidRDefault="00171851" w:rsidP="00171851">
      <w:pPr>
        <w:pStyle w:val="Heading5"/>
      </w:pPr>
      <w:r>
        <w:t>CPMS Handbook</w:t>
      </w:r>
    </w:p>
    <w:p w14:paraId="35C92241" w14:textId="77777777" w:rsidR="00171851" w:rsidRDefault="00171851" w:rsidP="00171851">
      <w:r>
        <w:t>The cross-cutting issues are integrated throughout the handbook.</w:t>
      </w:r>
    </w:p>
    <w:p w14:paraId="0033F38E" w14:textId="77777777" w:rsidR="00171851" w:rsidRDefault="00171851" w:rsidP="00171851">
      <w:pPr>
        <w:pStyle w:val="bullet"/>
      </w:pPr>
      <w:r>
        <w:t xml:space="preserve">Children: Main theme of the initiative’s handbook </w:t>
      </w:r>
    </w:p>
    <w:p w14:paraId="64133D31" w14:textId="77777777" w:rsidR="00171851" w:rsidRDefault="00171851" w:rsidP="00171851">
      <w:pPr>
        <w:pStyle w:val="bullet"/>
      </w:pPr>
      <w:r>
        <w:t>Psychosocial: Standard 10 (p.97)</w:t>
      </w:r>
    </w:p>
    <w:p w14:paraId="511F59E4" w14:textId="77777777" w:rsidR="00171851" w:rsidRDefault="00171851" w:rsidP="00171851">
      <w:pPr>
        <w:pStyle w:val="bullet"/>
      </w:pPr>
      <w:r>
        <w:t>Protection: Principles and approaches (p.27)</w:t>
      </w:r>
    </w:p>
    <w:p w14:paraId="3AC866EE" w14:textId="77777777" w:rsidR="00171851" w:rsidRDefault="00171851" w:rsidP="00171851">
      <w:pPr>
        <w:pStyle w:val="bullet"/>
      </w:pPr>
      <w:r>
        <w:t>Risk reduction: Timeframe (p.16), DRR (p.23), Standard 7</w:t>
      </w:r>
    </w:p>
    <w:p w14:paraId="35218FE7" w14:textId="77777777" w:rsidR="00171851" w:rsidRDefault="00171851" w:rsidP="00171851">
      <w:pPr>
        <w:pStyle w:val="Heading5"/>
      </w:pPr>
      <w:r>
        <w:t>INEE Handbook</w:t>
      </w:r>
    </w:p>
    <w:p w14:paraId="639A69C8" w14:textId="77777777" w:rsidR="00171851" w:rsidRDefault="00171851" w:rsidP="00171851">
      <w:r>
        <w:t>The cross-cutting issues are integrated throughout the handbook. Eleven are listed in the final map (handbook back cover).</w:t>
      </w:r>
    </w:p>
    <w:p w14:paraId="35D907D5" w14:textId="77777777" w:rsidR="00171851" w:rsidRDefault="00171851" w:rsidP="00171851">
      <w:pPr>
        <w:pStyle w:val="bullet"/>
      </w:pPr>
      <w:r>
        <w:t>Children: Main target group</w:t>
      </w:r>
    </w:p>
    <w:p w14:paraId="620E389D" w14:textId="77777777" w:rsidR="00171851" w:rsidRDefault="00171851" w:rsidP="00171851">
      <w:pPr>
        <w:pStyle w:val="bullet"/>
      </w:pPr>
      <w:r>
        <w:t>Gender: INEE Pocket Guide to Gender ‘Gender Equality in and through Education’</w:t>
      </w:r>
    </w:p>
    <w:p w14:paraId="569ECEC1" w14:textId="77777777" w:rsidR="00171851" w:rsidRDefault="00171851" w:rsidP="00171851">
      <w:pPr>
        <w:pStyle w:val="bullet"/>
      </w:pPr>
      <w:r>
        <w:t>Psychosocial: Foundational Standard-Access and learning environment/Standard 2: Protection and well-being</w:t>
      </w:r>
    </w:p>
    <w:p w14:paraId="256E9549" w14:textId="77777777" w:rsidR="00171851" w:rsidRDefault="00171851" w:rsidP="00171851">
      <w:pPr>
        <w:pStyle w:val="bullet"/>
      </w:pPr>
      <w:r>
        <w:t>Risk reduction: LRRD (p.3)</w:t>
      </w:r>
    </w:p>
    <w:p w14:paraId="1E61DCD3" w14:textId="77777777" w:rsidR="00171851" w:rsidRDefault="00171851" w:rsidP="00171851">
      <w:pPr>
        <w:pStyle w:val="Heading5"/>
      </w:pPr>
      <w:r>
        <w:t>LEGS Handbook</w:t>
      </w:r>
    </w:p>
    <w:p w14:paraId="2B61532F" w14:textId="77777777" w:rsidR="00171851" w:rsidRDefault="00171851" w:rsidP="00171851">
      <w:pPr>
        <w:pStyle w:val="bullet"/>
      </w:pPr>
      <w:r>
        <w:t>4 Cross-cutting issues (p.14): Gender and social equity, HIV/AIDS, Security and protection, Environment</w:t>
      </w:r>
    </w:p>
    <w:p w14:paraId="4FC10552" w14:textId="5182C66E" w:rsidR="00171851" w:rsidRDefault="00171851" w:rsidP="00171851">
      <w:pPr>
        <w:pStyle w:val="bullet"/>
      </w:pPr>
      <w:r>
        <w:t xml:space="preserve">Risk reduction: DRRM </w:t>
      </w:r>
      <w:r w:rsidR="00D1247D">
        <w:t>as a global framework, LRRD (p.6</w:t>
      </w:r>
      <w:r>
        <w:t>)</w:t>
      </w:r>
    </w:p>
    <w:p w14:paraId="3AF5ED10" w14:textId="4920CF31" w:rsidR="00171851" w:rsidRDefault="00171851" w:rsidP="00171851">
      <w:pPr>
        <w:pStyle w:val="bullet"/>
      </w:pPr>
      <w:r>
        <w:t>Vulnerable social groups, including children, the elderly, and disabled people (p.14, p.</w:t>
      </w:r>
      <w:r w:rsidR="00D1247D">
        <w:t>244</w:t>
      </w:r>
      <w:r>
        <w:t>)</w:t>
      </w:r>
    </w:p>
    <w:p w14:paraId="0794433A" w14:textId="77777777" w:rsidR="00171851" w:rsidRDefault="00171851" w:rsidP="00171851">
      <w:pPr>
        <w:pStyle w:val="Heading5"/>
      </w:pPr>
      <w:r>
        <w:t>MERS Handbook</w:t>
      </w:r>
    </w:p>
    <w:p w14:paraId="5DE3B553" w14:textId="77777777" w:rsidR="00171851" w:rsidRDefault="00171851" w:rsidP="00171851">
      <w:pPr>
        <w:pStyle w:val="bullet"/>
      </w:pPr>
      <w:r>
        <w:t>Cross-cutting issues (p.10): Gender, Children, Older people, Disabled people, Environment</w:t>
      </w:r>
    </w:p>
    <w:p w14:paraId="03B02645" w14:textId="77777777" w:rsidR="00171851" w:rsidRDefault="00171851" w:rsidP="00171851">
      <w:pPr>
        <w:pStyle w:val="bullet"/>
      </w:pPr>
      <w:r>
        <w:t>Risk reduction: LRRD (p.14)</w:t>
      </w:r>
    </w:p>
    <w:p w14:paraId="358161B2" w14:textId="77777777" w:rsidR="007D1ADB" w:rsidRPr="007D1ADB" w:rsidRDefault="007D1ADB" w:rsidP="007D1ADB"/>
    <w:sectPr w:rsidR="007D1ADB" w:rsidRPr="007D1ADB" w:rsidSect="00F51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247" w:bottom="851" w:left="1247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A8F33" w14:textId="77777777" w:rsidR="00405A54" w:rsidRDefault="00405A54" w:rsidP="002848CC">
      <w:pPr>
        <w:spacing w:before="0"/>
      </w:pPr>
      <w:r>
        <w:separator/>
      </w:r>
    </w:p>
  </w:endnote>
  <w:endnote w:type="continuationSeparator" w:id="0">
    <w:p w14:paraId="55D920D5" w14:textId="77777777" w:rsidR="00405A54" w:rsidRDefault="00405A54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F9B59" w14:textId="517279CF" w:rsidR="00405A54" w:rsidRPr="004F1D9A" w:rsidRDefault="00405A54" w:rsidP="00F51600">
    <w:pPr>
      <w:pStyle w:val="Footer"/>
    </w:pPr>
    <w:r w:rsidRPr="00F97BB3">
      <w:t>Module B3: Sphere, Disaster Risk Reduction/Management and resilience. 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72AFE" w14:textId="4D69F9E1" w:rsidR="00405A54" w:rsidRPr="00F51600" w:rsidRDefault="00405A54" w:rsidP="00F51600">
    <w:pPr>
      <w:pStyle w:val="Footer"/>
    </w:pPr>
    <w:r w:rsidRPr="006F26B6">
      <w:t>Module A7 – Sphere cross-cutting themes</w:t>
    </w:r>
    <w:r>
      <w:tab/>
    </w:r>
    <w:r w:rsidRPr="00F51600">
      <w:t>Sphere Training Package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31B5" w14:textId="719CD515" w:rsidR="00405A54" w:rsidRPr="00F51600" w:rsidRDefault="00405A54" w:rsidP="00891199">
    <w:pPr>
      <w:pStyle w:val="Footer"/>
    </w:pPr>
    <w:r w:rsidRPr="006F26B6">
      <w:t>Module A7 – Sphere cross-cutting themes</w:t>
    </w:r>
    <w:r>
      <w:tab/>
    </w:r>
    <w:r w:rsidRPr="00F51600">
      <w:t>Sphere Training Package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CA018" w14:textId="77777777" w:rsidR="00405A54" w:rsidRDefault="00405A54" w:rsidP="002848CC">
      <w:pPr>
        <w:spacing w:before="0"/>
      </w:pPr>
      <w:r>
        <w:separator/>
      </w:r>
    </w:p>
  </w:footnote>
  <w:footnote w:type="continuationSeparator" w:id="0">
    <w:p w14:paraId="3A0C8118" w14:textId="77777777" w:rsidR="00405A54" w:rsidRDefault="00405A54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BBB23" w14:textId="5F59F794" w:rsidR="00405A54" w:rsidRPr="004F1D9A" w:rsidRDefault="00405A54" w:rsidP="00891199">
    <w:pPr>
      <w:pStyle w:val="Header"/>
    </w:pPr>
    <w:r w:rsidRPr="007A7ACB">
      <w:t>Handouts</w:t>
    </w:r>
    <w:r>
      <w:tab/>
    </w:r>
    <w:r w:rsidRPr="003E013F">
      <w:rPr>
        <w:rStyle w:val="logobaselineshift"/>
        <w:lang w:eastAsia="en-GB"/>
      </w:rPr>
      <w:drawing>
        <wp:inline distT="0" distB="0" distL="0" distR="0" wp14:anchorId="4A424C73" wp14:editId="6C7BAAF2">
          <wp:extent cx="1859799" cy="381992"/>
          <wp:effectExtent l="0" t="0" r="0" b="0"/>
          <wp:docPr id="6" name="Picture 6" descr="Files:Current Client:Walkgrove:Sphere:Sphere examples and guidelines:Visual_guidelines_and_materials:HANDBOOK ICONS:Sphere-Project-Logo-Landscape-No-Tagline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les:Current Client:Walkgrove:Sphere:Sphere examples and guidelines:Visual_guidelines_and_materials:HANDBOOK ICONS:Sphere-Project-Logo-Landscape-No-Tagline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27" cy="382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67316" w14:textId="7C5A06D1" w:rsidR="00405A54" w:rsidRPr="00175CA3" w:rsidRDefault="00405A54" w:rsidP="00891199">
    <w:pPr>
      <w:pStyle w:val="Header"/>
    </w:pPr>
    <w:r w:rsidRPr="00175CA3">
      <w:t>Handouts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00D55" w14:textId="5FD93E43" w:rsidR="00405A54" w:rsidRPr="003E013F" w:rsidRDefault="00405A54" w:rsidP="00F51600">
    <w:pPr>
      <w:pStyle w:val="Heading1"/>
    </w:pPr>
    <w:r w:rsidRPr="006F26B6">
      <w:t>Module A7 – Sphere cross-cutting themes</w:t>
    </w:r>
    <w:r w:rsidRPr="00C820AA">
      <w:t xml:space="preserve"> </w:t>
    </w:r>
    <w:r>
      <w:tab/>
    </w:r>
    <w:r w:rsidRPr="008E5243">
      <w:rPr>
        <w:color w:val="579305" w:themeColor="accent1"/>
        <w:szCs w:val="28"/>
      </w:rPr>
      <w:t>Ha</w:t>
    </w:r>
    <w:bookmarkStart w:id="0" w:name="_GoBack"/>
    <w:bookmarkEnd w:id="0"/>
    <w:r w:rsidRPr="008E5243">
      <w:rPr>
        <w:color w:val="579305" w:themeColor="accent1"/>
        <w:szCs w:val="28"/>
      </w:rPr>
      <w:t>ndouts</w:t>
    </w:r>
  </w:p>
  <w:p w14:paraId="3E1679D9" w14:textId="4924F551" w:rsidR="00405A54" w:rsidRPr="00792B8B" w:rsidRDefault="00405A54" w:rsidP="00F51600">
    <w:pPr>
      <w:pStyle w:val="Heading2"/>
      <w:pBdr>
        <w:bottom w:val="single" w:sz="4" w:space="4" w:color="004386" w:themeColor="text2"/>
      </w:pBdr>
      <w:spacing w:after="0"/>
    </w:pPr>
    <w:r w:rsidRPr="006F26B6">
      <w:t>How can you mainstream the Sphere cross-cutting themes in your work?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82DCA"/>
    <w:multiLevelType w:val="hybridMultilevel"/>
    <w:tmpl w:val="C1EAB630"/>
    <w:lvl w:ilvl="0" w:tplc="97CCFBDE">
      <w:start w:val="1"/>
      <w:numFmt w:val="bullet"/>
      <w:pStyle w:val="sub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D7DD3"/>
    <w:multiLevelType w:val="hybridMultilevel"/>
    <w:tmpl w:val="0DC22FB2"/>
    <w:lvl w:ilvl="0" w:tplc="BD68BE1C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5672F"/>
    <w:multiLevelType w:val="hybridMultilevel"/>
    <w:tmpl w:val="5882EF42"/>
    <w:lvl w:ilvl="0" w:tplc="A6F0BB26">
      <w:start w:val="1"/>
      <w:numFmt w:val="bullet"/>
      <w:pStyle w:val="table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11"/>
  </w:num>
  <w:num w:numId="9">
    <w:abstractNumId w:val="6"/>
  </w:num>
  <w:num w:numId="10">
    <w:abstractNumId w:val="9"/>
  </w:num>
  <w:num w:numId="11">
    <w:abstractNumId w:val="3"/>
  </w:num>
  <w:num w:numId="12">
    <w:abstractNumId w:val="8"/>
  </w:num>
  <w:num w:numId="13">
    <w:abstractNumId w:val="7"/>
  </w:num>
  <w:num w:numId="14">
    <w:abstractNumId w:val="4"/>
  </w:num>
  <w:num w:numId="15">
    <w:abstractNumId w:val="5"/>
  </w:num>
  <w:num w:numId="16">
    <w:abstractNumId w:val="4"/>
  </w:num>
  <w:num w:numId="17">
    <w:abstractNumId w:val="5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13229F"/>
    <w:rsid w:val="00144112"/>
    <w:rsid w:val="0015588F"/>
    <w:rsid w:val="001713BA"/>
    <w:rsid w:val="00171851"/>
    <w:rsid w:val="001740C0"/>
    <w:rsid w:val="00175CA3"/>
    <w:rsid w:val="001869EC"/>
    <w:rsid w:val="001C7F2F"/>
    <w:rsid w:val="001D0724"/>
    <w:rsid w:val="001D7A65"/>
    <w:rsid w:val="001F7F75"/>
    <w:rsid w:val="00200D4D"/>
    <w:rsid w:val="00205074"/>
    <w:rsid w:val="002201FF"/>
    <w:rsid w:val="00237D09"/>
    <w:rsid w:val="00241992"/>
    <w:rsid w:val="002848CC"/>
    <w:rsid w:val="002933E5"/>
    <w:rsid w:val="002958E2"/>
    <w:rsid w:val="002D3B86"/>
    <w:rsid w:val="002F2B87"/>
    <w:rsid w:val="0030064E"/>
    <w:rsid w:val="00314ADC"/>
    <w:rsid w:val="00315E11"/>
    <w:rsid w:val="00370153"/>
    <w:rsid w:val="003A4483"/>
    <w:rsid w:val="003C469E"/>
    <w:rsid w:val="003C5331"/>
    <w:rsid w:val="003D60D7"/>
    <w:rsid w:val="003E013F"/>
    <w:rsid w:val="003E2279"/>
    <w:rsid w:val="003E2DB9"/>
    <w:rsid w:val="003F0EB3"/>
    <w:rsid w:val="00405A54"/>
    <w:rsid w:val="004231C3"/>
    <w:rsid w:val="0043797B"/>
    <w:rsid w:val="0045590B"/>
    <w:rsid w:val="00463DB5"/>
    <w:rsid w:val="004D7062"/>
    <w:rsid w:val="004F1D9A"/>
    <w:rsid w:val="0050225B"/>
    <w:rsid w:val="005751FD"/>
    <w:rsid w:val="005F6AEE"/>
    <w:rsid w:val="00601FF7"/>
    <w:rsid w:val="00620E7C"/>
    <w:rsid w:val="0063519D"/>
    <w:rsid w:val="00637110"/>
    <w:rsid w:val="00652FB1"/>
    <w:rsid w:val="00690F64"/>
    <w:rsid w:val="006C099B"/>
    <w:rsid w:val="006D149B"/>
    <w:rsid w:val="006E74C4"/>
    <w:rsid w:val="006F26B6"/>
    <w:rsid w:val="006F280A"/>
    <w:rsid w:val="007030AE"/>
    <w:rsid w:val="00714CE1"/>
    <w:rsid w:val="00715CA8"/>
    <w:rsid w:val="00731755"/>
    <w:rsid w:val="00761400"/>
    <w:rsid w:val="00775878"/>
    <w:rsid w:val="00781146"/>
    <w:rsid w:val="00792B8B"/>
    <w:rsid w:val="007A255B"/>
    <w:rsid w:val="007A4412"/>
    <w:rsid w:val="007A7ACB"/>
    <w:rsid w:val="007B3E00"/>
    <w:rsid w:val="007D1ADB"/>
    <w:rsid w:val="007E479A"/>
    <w:rsid w:val="00810AFF"/>
    <w:rsid w:val="00811B63"/>
    <w:rsid w:val="00816A31"/>
    <w:rsid w:val="00825D04"/>
    <w:rsid w:val="008260A5"/>
    <w:rsid w:val="008647F3"/>
    <w:rsid w:val="008652CA"/>
    <w:rsid w:val="0087787A"/>
    <w:rsid w:val="00891199"/>
    <w:rsid w:val="008B4444"/>
    <w:rsid w:val="008B7D3C"/>
    <w:rsid w:val="008E5243"/>
    <w:rsid w:val="008F7DE8"/>
    <w:rsid w:val="0090172B"/>
    <w:rsid w:val="0090692F"/>
    <w:rsid w:val="00925784"/>
    <w:rsid w:val="00937519"/>
    <w:rsid w:val="009516C3"/>
    <w:rsid w:val="00971AD2"/>
    <w:rsid w:val="00981544"/>
    <w:rsid w:val="0098193F"/>
    <w:rsid w:val="00995549"/>
    <w:rsid w:val="009C6C4F"/>
    <w:rsid w:val="009D6A86"/>
    <w:rsid w:val="009D7027"/>
    <w:rsid w:val="009E270C"/>
    <w:rsid w:val="00A46634"/>
    <w:rsid w:val="00A80DF5"/>
    <w:rsid w:val="00A93E89"/>
    <w:rsid w:val="00A95124"/>
    <w:rsid w:val="00AB088B"/>
    <w:rsid w:val="00AD30D2"/>
    <w:rsid w:val="00AF36C0"/>
    <w:rsid w:val="00B40995"/>
    <w:rsid w:val="00B572C2"/>
    <w:rsid w:val="00B70E34"/>
    <w:rsid w:val="00B91AAC"/>
    <w:rsid w:val="00BE3D5B"/>
    <w:rsid w:val="00C0309C"/>
    <w:rsid w:val="00C32D00"/>
    <w:rsid w:val="00C35B0F"/>
    <w:rsid w:val="00C507F3"/>
    <w:rsid w:val="00C915A4"/>
    <w:rsid w:val="00D064C5"/>
    <w:rsid w:val="00D1247D"/>
    <w:rsid w:val="00D221A6"/>
    <w:rsid w:val="00D54219"/>
    <w:rsid w:val="00D90736"/>
    <w:rsid w:val="00DD0F73"/>
    <w:rsid w:val="00DE202F"/>
    <w:rsid w:val="00DE210D"/>
    <w:rsid w:val="00DE21D3"/>
    <w:rsid w:val="00DF2534"/>
    <w:rsid w:val="00E15219"/>
    <w:rsid w:val="00E2620E"/>
    <w:rsid w:val="00E26D30"/>
    <w:rsid w:val="00E71C66"/>
    <w:rsid w:val="00E8474E"/>
    <w:rsid w:val="00EA1F0B"/>
    <w:rsid w:val="00EB14C9"/>
    <w:rsid w:val="00EE535D"/>
    <w:rsid w:val="00F25952"/>
    <w:rsid w:val="00F51600"/>
    <w:rsid w:val="00F52152"/>
    <w:rsid w:val="00F66ABC"/>
    <w:rsid w:val="00F67F82"/>
    <w:rsid w:val="00F97BB3"/>
    <w:rsid w:val="00FA7F78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E03F88"/>
  <w15:docId w15:val="{0BA324F1-BBF4-464D-9E64-EF03F809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171851"/>
    <w:pPr>
      <w:spacing w:before="120" w:line="280" w:lineRule="atLeast"/>
    </w:pPr>
    <w:rPr>
      <w:bCs/>
      <w:sz w:val="24"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891199"/>
    <w:pPr>
      <w:keepNext/>
      <w:tabs>
        <w:tab w:val="right" w:pos="9356"/>
      </w:tabs>
      <w:spacing w:before="0" w:line="240" w:lineRule="auto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4231C3"/>
    <w:pPr>
      <w:spacing w:before="160" w:after="40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811B63"/>
    <w:pPr>
      <w:pageBreakBefore/>
      <w:spacing w:before="0" w:after="0"/>
      <w:outlineLvl w:val="2"/>
    </w:pPr>
    <w:rPr>
      <w:b/>
      <w:i w:val="0"/>
      <w:szCs w:val="24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F51600"/>
    <w:pPr>
      <w:keepLines/>
      <w:spacing w:after="16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171851"/>
    <w:pPr>
      <w:spacing w:before="240"/>
      <w:outlineLvl w:val="4"/>
    </w:pPr>
    <w:rPr>
      <w:b/>
      <w:iCs/>
      <w:color w:val="004386" w:themeColor="text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891199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4231C3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811B63"/>
    <w:rPr>
      <w:rFonts w:ascii="Tahoma" w:eastAsiaTheme="majorEastAsia" w:hAnsi="Tahoma" w:cs="Arial"/>
      <w:b/>
      <w:bCs/>
      <w:color w:val="004386" w:themeColor="text2"/>
      <w:kern w:val="32"/>
      <w:sz w:val="24"/>
      <w:szCs w:val="24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F51600"/>
    <w:rPr>
      <w:rFonts w:ascii="Tahoma" w:eastAsiaTheme="majorEastAsia" w:hAnsi="Tahoma" w:cstheme="majorBidi"/>
      <w:b/>
      <w:bCs/>
      <w:color w:val="004386" w:themeColor="text2"/>
      <w:kern w:val="32"/>
      <w:sz w:val="24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171851"/>
    <w:rPr>
      <w:b/>
      <w:bCs/>
      <w:iCs/>
      <w:color w:val="004386" w:themeColor="text2"/>
      <w:sz w:val="24"/>
      <w:szCs w:val="26"/>
      <w:lang w:val="en-GB"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205074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205074"/>
    <w:rPr>
      <w:b/>
      <w:i w:val="0"/>
      <w:iCs/>
    </w:rPr>
  </w:style>
  <w:style w:type="table" w:styleId="TableGrid">
    <w:name w:val="Table Grid"/>
    <w:basedOn w:val="TableNormal"/>
    <w:uiPriority w:val="59"/>
    <w:rsid w:val="0020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5074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074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074"/>
    <w:rPr>
      <w:rFonts w:cs="Tahoma"/>
      <w:bCs/>
      <w:sz w:val="16"/>
      <w:szCs w:val="16"/>
      <w:lang w:val="en-US" w:eastAsia="es-ES"/>
    </w:rPr>
  </w:style>
  <w:style w:type="paragraph" w:customStyle="1" w:styleId="table">
    <w:name w:val="table"/>
    <w:aliases w:val="t"/>
    <w:basedOn w:val="Normal"/>
    <w:qFormat/>
    <w:rsid w:val="007D1ADB"/>
    <w:pPr>
      <w:spacing w:before="80" w:after="80"/>
    </w:pPr>
  </w:style>
  <w:style w:type="paragraph" w:customStyle="1" w:styleId="tableheading">
    <w:name w:val="table heading"/>
    <w:aliases w:val="th"/>
    <w:basedOn w:val="table"/>
    <w:qFormat/>
    <w:rsid w:val="00F25952"/>
    <w:pPr>
      <w:keepNext/>
    </w:pPr>
    <w:rPr>
      <w:rFonts w:ascii="Tahoma" w:hAnsi="Tahoma"/>
      <w:b/>
      <w:color w:val="004386" w:themeColor="text2"/>
      <w:sz w:val="20"/>
      <w:szCs w:val="22"/>
    </w:rPr>
  </w:style>
  <w:style w:type="paragraph" w:customStyle="1" w:styleId="bullet">
    <w:name w:val="bullet"/>
    <w:aliases w:val="b"/>
    <w:basedOn w:val="Normal"/>
    <w:qFormat/>
    <w:rsid w:val="00205074"/>
    <w:pPr>
      <w:numPr>
        <w:numId w:val="16"/>
      </w:numPr>
    </w:pPr>
  </w:style>
  <w:style w:type="paragraph" w:customStyle="1" w:styleId="tablebullet">
    <w:name w:val="table bullet"/>
    <w:basedOn w:val="table"/>
    <w:qFormat/>
    <w:rsid w:val="00205074"/>
    <w:pPr>
      <w:numPr>
        <w:numId w:val="17"/>
      </w:numPr>
      <w:ind w:left="284" w:hanging="284"/>
    </w:pPr>
  </w:style>
  <w:style w:type="paragraph" w:styleId="Header">
    <w:name w:val="header"/>
    <w:basedOn w:val="Normal"/>
    <w:link w:val="HeaderChar"/>
    <w:uiPriority w:val="99"/>
    <w:unhideWhenUsed/>
    <w:rsid w:val="00891199"/>
    <w:pPr>
      <w:pBdr>
        <w:bottom w:val="single" w:sz="4" w:space="4" w:color="004386" w:themeColor="text2"/>
      </w:pBdr>
      <w:tabs>
        <w:tab w:val="right" w:pos="9356"/>
      </w:tabs>
      <w:spacing w:before="0" w:line="240" w:lineRule="auto"/>
      <w:jc w:val="right"/>
    </w:pPr>
    <w:rPr>
      <w:rFonts w:ascii="Tahoma" w:hAnsi="Tahoma" w:cs="Tahoma"/>
      <w:b/>
      <w:color w:val="579305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891199"/>
    <w:rPr>
      <w:rFonts w:ascii="Tahoma" w:hAnsi="Tahoma" w:cs="Tahoma"/>
      <w:b/>
      <w:bCs/>
      <w:color w:val="579305" w:themeColor="accent1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uiPriority w:val="99"/>
    <w:unhideWhenUsed/>
    <w:rsid w:val="00F51600"/>
    <w:pPr>
      <w:pBdr>
        <w:top w:val="single" w:sz="4" w:space="4" w:color="004386" w:themeColor="text2"/>
      </w:pBdr>
      <w:tabs>
        <w:tab w:val="right" w:pos="9356"/>
      </w:tabs>
      <w:spacing w:before="0" w:line="240" w:lineRule="auto"/>
    </w:pPr>
    <w:rPr>
      <w:rFonts w:ascii="Tahoma" w:hAnsi="Tahoma" w:cs="Tahoma"/>
      <w:color w:val="004386" w:themeColor="text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51600"/>
    <w:rPr>
      <w:rFonts w:ascii="Tahoma" w:hAnsi="Tahoma" w:cs="Tahoma"/>
      <w:bCs/>
      <w:color w:val="004386" w:themeColor="text2"/>
      <w:sz w:val="18"/>
      <w:szCs w:val="18"/>
      <w:lang w:val="en-US" w:eastAsia="es-ES"/>
    </w:rPr>
  </w:style>
  <w:style w:type="character" w:styleId="PageNumber">
    <w:name w:val="page number"/>
    <w:basedOn w:val="DefaultParagraphFont"/>
    <w:uiPriority w:val="99"/>
    <w:semiHidden/>
    <w:unhideWhenUsed/>
    <w:rsid w:val="00205074"/>
    <w:rPr>
      <w:rFonts w:asciiTheme="minorHAnsi" w:hAnsiTheme="minorHAnsi"/>
    </w:rPr>
  </w:style>
  <w:style w:type="character" w:customStyle="1" w:styleId="logobaselineshift">
    <w:name w:val="logo baseline shift"/>
    <w:uiPriority w:val="1"/>
    <w:rsid w:val="00205074"/>
    <w:rPr>
      <w:noProof/>
      <w:position w:val="-20"/>
    </w:rPr>
  </w:style>
  <w:style w:type="character" w:styleId="FollowedHyperlink">
    <w:name w:val="FollowedHyperlink"/>
    <w:basedOn w:val="DefaultParagraphFont"/>
    <w:uiPriority w:val="99"/>
    <w:semiHidden/>
    <w:unhideWhenUsed/>
    <w:rsid w:val="00205074"/>
    <w:rPr>
      <w:color w:val="004386"/>
      <w:u w:val="single"/>
    </w:rPr>
  </w:style>
  <w:style w:type="paragraph" w:customStyle="1" w:styleId="subbullet">
    <w:name w:val="sub bullet"/>
    <w:aliases w:val="s"/>
    <w:basedOn w:val="Normal"/>
    <w:qFormat/>
    <w:rsid w:val="00DE202F"/>
    <w:pPr>
      <w:numPr>
        <w:numId w:val="19"/>
      </w:numPr>
      <w:spacing w:before="80"/>
      <w:ind w:left="568"/>
    </w:pPr>
  </w:style>
  <w:style w:type="paragraph" w:customStyle="1" w:styleId="Largebodytable">
    <w:name w:val="Large body/table"/>
    <w:basedOn w:val="Normal"/>
    <w:qFormat/>
    <w:rsid w:val="009D7027"/>
    <w:pPr>
      <w:spacing w:before="240" w:after="240" w:line="288" w:lineRule="auto"/>
      <w:ind w:left="113" w:right="113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CeciliaFurtade</cp:lastModifiedBy>
  <cp:revision>2</cp:revision>
  <cp:lastPrinted>2015-01-05T09:17:00Z</cp:lastPrinted>
  <dcterms:created xsi:type="dcterms:W3CDTF">2015-02-04T13:05:00Z</dcterms:created>
  <dcterms:modified xsi:type="dcterms:W3CDTF">2015-02-04T13:05:00Z</dcterms:modified>
</cp:coreProperties>
</file>